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650" w:type="pct"/>
        <w:jc w:val="center"/>
        <w:tblCellSpacing w:w="6" w:type="dxa"/>
        <w:tblCellMar>
          <w:top w:w="12" w:type="dxa"/>
          <w:left w:w="12" w:type="dxa"/>
          <w:bottom w:w="12" w:type="dxa"/>
          <w:right w:w="12" w:type="dxa"/>
        </w:tblCellMar>
        <w:tblLook w:val="04A0" w:firstRow="1" w:lastRow="0" w:firstColumn="1" w:lastColumn="0" w:noHBand="0" w:noVBand="1"/>
      </w:tblPr>
      <w:tblGrid>
        <w:gridCol w:w="1042"/>
        <w:gridCol w:w="6633"/>
      </w:tblGrid>
      <w:tr w:rsidR="00A211B4" w:rsidRPr="00A211B4" w:rsidTr="00A211B4">
        <w:trPr>
          <w:trHeight w:val="264"/>
          <w:tblCellSpacing w:w="6" w:type="dxa"/>
          <w:jc w:val="center"/>
        </w:trPr>
        <w:tc>
          <w:tcPr>
            <w:tcW w:w="667" w:type="pct"/>
            <w:noWrap/>
            <w:hideMark/>
          </w:tcPr>
          <w:p w:rsidR="00A211B4" w:rsidRPr="00A211B4" w:rsidRDefault="00A211B4" w:rsidP="00A211B4">
            <w:pPr>
              <w:widowControl/>
              <w:jc w:val="right"/>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法規名稱：</w:t>
            </w:r>
          </w:p>
        </w:tc>
        <w:tc>
          <w:tcPr>
            <w:tcW w:w="4309" w:type="pct"/>
            <w:hideMark/>
          </w:tcPr>
          <w:p w:rsidR="00A211B4" w:rsidRPr="00A211B4" w:rsidRDefault="00A211B4" w:rsidP="00A211B4">
            <w:pPr>
              <w:widowControl/>
              <w:rPr>
                <w:rFonts w:ascii="新細明體" w:eastAsia="新細明體" w:hAnsi="新細明體" w:cs="新細明體"/>
                <w:color w:val="000000"/>
                <w:kern w:val="0"/>
                <w:szCs w:val="24"/>
              </w:rPr>
            </w:pPr>
            <w:bookmarkStart w:id="0" w:name="_GoBack"/>
            <w:r w:rsidRPr="00A211B4">
              <w:rPr>
                <w:rFonts w:ascii="新細明體" w:eastAsia="新細明體" w:hAnsi="新細明體" w:cs="新細明體"/>
                <w:color w:val="000000"/>
                <w:kern w:val="0"/>
                <w:sz w:val="20"/>
                <w:szCs w:val="20"/>
              </w:rPr>
              <w:t>勞工退休準備金</w:t>
            </w:r>
            <w:proofErr w:type="gramStart"/>
            <w:r w:rsidRPr="00A211B4">
              <w:rPr>
                <w:rFonts w:ascii="新細明體" w:eastAsia="新細明體" w:hAnsi="新細明體" w:cs="新細明體"/>
                <w:color w:val="000000"/>
                <w:kern w:val="0"/>
                <w:sz w:val="20"/>
                <w:szCs w:val="20"/>
              </w:rPr>
              <w:t>提撥</w:t>
            </w:r>
            <w:proofErr w:type="gramEnd"/>
            <w:r w:rsidRPr="00A211B4">
              <w:rPr>
                <w:rFonts w:ascii="新細明體" w:eastAsia="新細明體" w:hAnsi="新細明體" w:cs="新細明體"/>
                <w:color w:val="000000"/>
                <w:kern w:val="0"/>
                <w:sz w:val="20"/>
                <w:szCs w:val="20"/>
              </w:rPr>
              <w:t>及管理辦法</w:t>
            </w:r>
            <w:bookmarkEnd w:id="0"/>
            <w:r w:rsidRPr="00A211B4">
              <w:rPr>
                <w:rFonts w:ascii="新細明體" w:eastAsia="新細明體" w:hAnsi="新細明體" w:cs="新細明體"/>
                <w:color w:val="000000"/>
                <w:kern w:val="0"/>
                <w:sz w:val="20"/>
                <w:szCs w:val="20"/>
              </w:rPr>
              <w:t xml:space="preserve"> (民國 104 年 11 月 19 日修正) </w:t>
            </w:r>
          </w:p>
        </w:tc>
      </w:tr>
    </w:tbl>
    <w:p w:rsidR="00A211B4" w:rsidRPr="00A211B4" w:rsidRDefault="00A211B4" w:rsidP="00A211B4">
      <w:pPr>
        <w:widowControl/>
        <w:rPr>
          <w:rFonts w:ascii="新細明體" w:eastAsia="新細明體" w:hAnsi="新細明體" w:cs="新細明體"/>
          <w:vanish/>
          <w:color w:val="000000"/>
          <w:kern w:val="0"/>
          <w:szCs w:val="24"/>
        </w:rPr>
      </w:pPr>
    </w:p>
    <w:tbl>
      <w:tblPr>
        <w:tblW w:w="4671" w:type="pct"/>
        <w:jc w:val="center"/>
        <w:tblCellSpacing w:w="15" w:type="dxa"/>
        <w:tblInd w:w="-1133" w:type="dxa"/>
        <w:tblCellMar>
          <w:top w:w="15" w:type="dxa"/>
          <w:left w:w="15" w:type="dxa"/>
          <w:bottom w:w="15" w:type="dxa"/>
          <w:right w:w="15" w:type="dxa"/>
        </w:tblCellMar>
        <w:tblLook w:val="04A0" w:firstRow="1" w:lastRow="0" w:firstColumn="1" w:lastColumn="0" w:noHBand="0" w:noVBand="1"/>
      </w:tblPr>
      <w:tblGrid>
        <w:gridCol w:w="2503"/>
        <w:gridCol w:w="7358"/>
      </w:tblGrid>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1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本辦法依勞動基準法（以下簡稱本法）第五十六條第一項規定訂定之。</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2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各事業單位之</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率，由雇主在本法第五十六條第一項規定範圍內，依據</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下列因素擬定之：</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一、勞工工作年資。</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二、薪資結構。</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三、最近五年勞工流動率。</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四、今後五年退休勞工人數。</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五、適用本法前，依營利事業設置職工退休基金保管運用及分配辦法規定</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 xml:space="preserve">    </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之退休基金。</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六、適用本法前，投保有關人身保險，但以其保險給付確能作為勞工退休</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 xml:space="preserve">    準備金者為限。</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3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各事業單位</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勞工退休準備金累積至足以支應勞工退休金時，得提經各</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該事業單位勞工退休準備金監督委員會審議通過後，報請當地主管機關核</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准暫停</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4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勞工退休準備金，應以各該事業單位勞工退休準備金監督委員會名義專戶</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proofErr w:type="gramStart"/>
            <w:r w:rsidRPr="00A211B4">
              <w:rPr>
                <w:rFonts w:ascii="細明體" w:eastAsia="細明體" w:hAnsi="細明體" w:cs="細明體"/>
                <w:color w:val="000000"/>
                <w:kern w:val="0"/>
                <w:szCs w:val="24"/>
              </w:rPr>
              <w:t>存儲於指定</w:t>
            </w:r>
            <w:proofErr w:type="gramEnd"/>
            <w:r w:rsidRPr="00A211B4">
              <w:rPr>
                <w:rFonts w:ascii="細明體" w:eastAsia="細明體" w:hAnsi="細明體" w:cs="細明體"/>
                <w:color w:val="000000"/>
                <w:kern w:val="0"/>
                <w:szCs w:val="24"/>
              </w:rPr>
              <w:t>之金融機構；支用時，應經勞工退休準備金監督委員會查核後</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，由雇主會同該委員會之主任委員及副主任委員簽署為之。</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5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事業單位歇業，雇主、勞工退休準備金監督委員會主任委員或副主任委員</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行蹤不明或其他原因未能簽署時，經當地主管機關查明屬實，由勞工退休</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準備金監督委員會三分之二委員簽署支用，其簽署應於歇業後六</w:t>
            </w:r>
            <w:proofErr w:type="gramStart"/>
            <w:r w:rsidRPr="00A211B4">
              <w:rPr>
                <w:rFonts w:ascii="細明體" w:eastAsia="細明體" w:hAnsi="細明體" w:cs="細明體"/>
                <w:color w:val="000000"/>
                <w:kern w:val="0"/>
                <w:szCs w:val="24"/>
              </w:rPr>
              <w:t>個</w:t>
            </w:r>
            <w:proofErr w:type="gramEnd"/>
            <w:r w:rsidRPr="00A211B4">
              <w:rPr>
                <w:rFonts w:ascii="細明體" w:eastAsia="細明體" w:hAnsi="細明體" w:cs="細明體"/>
                <w:color w:val="000000"/>
                <w:kern w:val="0"/>
                <w:szCs w:val="24"/>
              </w:rPr>
              <w:t>月內為</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之。</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事業單位歇業，其勞工退休準備金未能依前項程序支用時，由勞工持憑執</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行名義請求當地主管機關召開退休金或資遣費請求人會議；當地主管機關</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並應依該會議決議，函請指定之金融機構支付。</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勞動部勞工保險局（以下簡稱勞保局）依積欠工資墊償基金提</w:t>
            </w:r>
            <w:proofErr w:type="gramStart"/>
            <w:r w:rsidRPr="00A211B4">
              <w:rPr>
                <w:rFonts w:ascii="細明體" w:eastAsia="細明體" w:hAnsi="細明體" w:cs="細明體"/>
                <w:color w:val="000000"/>
                <w:kern w:val="0"/>
                <w:szCs w:val="24"/>
              </w:rPr>
              <w:t>繳及墊償</w:t>
            </w:r>
            <w:proofErr w:type="gramEnd"/>
            <w:r w:rsidRPr="00A211B4">
              <w:rPr>
                <w:rFonts w:ascii="細明體" w:eastAsia="細明體" w:hAnsi="細明體" w:cs="細明體"/>
                <w:color w:val="000000"/>
                <w:kern w:val="0"/>
                <w:szCs w:val="24"/>
              </w:rPr>
              <w:t>管</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理辦法第十四條第一項規定墊償勞工退休金或資遣費後，在墊償金額範圍</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lastRenderedPageBreak/>
              <w:t>內，得持憑勞工對雇主之執行名義，請當地主管機關依前項規定辦理。</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lastRenderedPageBreak/>
              <w:t>第    6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前條第二項會議由當地主管機關為召集之公告或通知，並應列席監督，該</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會議應確定請求人名冊、決定函請指定之金融機構支付之期日及作成其</w:t>
            </w:r>
            <w:proofErr w:type="gramStart"/>
            <w:r w:rsidRPr="00A211B4">
              <w:rPr>
                <w:rFonts w:ascii="細明體" w:eastAsia="細明體" w:hAnsi="細明體" w:cs="細明體"/>
                <w:color w:val="000000"/>
                <w:kern w:val="0"/>
                <w:szCs w:val="24"/>
              </w:rPr>
              <w:t>勞</w:t>
            </w:r>
            <w:proofErr w:type="gramEnd"/>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工退休準備金之給付清冊等相關事宜。</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7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各事業單位</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之勞工退休準備金不足支應其勞工退休金時，應由各事業</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單位補足之。</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8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企業</w:t>
            </w:r>
            <w:proofErr w:type="gramStart"/>
            <w:r w:rsidRPr="00A211B4">
              <w:rPr>
                <w:rFonts w:ascii="細明體" w:eastAsia="細明體" w:hAnsi="細明體" w:cs="細明體"/>
                <w:color w:val="000000"/>
                <w:kern w:val="0"/>
                <w:szCs w:val="24"/>
              </w:rPr>
              <w:t>併購法</w:t>
            </w:r>
            <w:proofErr w:type="gramEnd"/>
            <w:r w:rsidRPr="00A211B4">
              <w:rPr>
                <w:rFonts w:ascii="細明體" w:eastAsia="細明體" w:hAnsi="細明體" w:cs="細明體"/>
                <w:color w:val="000000"/>
                <w:kern w:val="0"/>
                <w:szCs w:val="24"/>
              </w:rPr>
              <w:t>第十五條第二項所定讓與公司或被分割公司辦理勞工退休準備</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金移轉時，應按其隨同營業或財產一併移轉勞工人數、年資及工資之比例</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，移轉至受讓事業單位之勞工退休準備金專戶存儲。</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企業</w:t>
            </w:r>
            <w:proofErr w:type="gramStart"/>
            <w:r w:rsidRPr="00A211B4">
              <w:rPr>
                <w:rFonts w:ascii="細明體" w:eastAsia="細明體" w:hAnsi="細明體" w:cs="細明體"/>
                <w:color w:val="000000"/>
                <w:kern w:val="0"/>
                <w:szCs w:val="24"/>
              </w:rPr>
              <w:t>併購法</w:t>
            </w:r>
            <w:proofErr w:type="gramEnd"/>
            <w:r w:rsidRPr="00A211B4">
              <w:rPr>
                <w:rFonts w:ascii="細明體" w:eastAsia="細明體" w:hAnsi="細明體" w:cs="細明體"/>
                <w:color w:val="000000"/>
                <w:kern w:val="0"/>
                <w:szCs w:val="24"/>
              </w:rPr>
              <w:t>第十五條第三項所定讓與公司或被分割公司辦理勞工退休準備</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金移轉前，其</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之勞工退休準備金，應達到第三條規定得暫停</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之數</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額。</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9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事業單位於依本法第五十五條及第八十四條之二規定之給與標準給付勞工</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退休金後，已無須依本法支付勞工退休金時，得報經當地主管機關核准後</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，領回其勞工退休準備金專戶之賸餘款；已無適用本法退休金制度之勞工</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者，亦同。</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10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事業單位歇業時，其已</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之勞工退休準備金，除支付勞工退休金外，得</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先行作為本法之勞工資遣費，再作為勞工退休金條例之勞工資遣費。有</w:t>
            </w:r>
            <w:proofErr w:type="gramStart"/>
            <w:r w:rsidRPr="00A211B4">
              <w:rPr>
                <w:rFonts w:ascii="細明體" w:eastAsia="細明體" w:hAnsi="細明體" w:cs="細明體"/>
                <w:color w:val="000000"/>
                <w:kern w:val="0"/>
                <w:szCs w:val="24"/>
              </w:rPr>
              <w:t>賸</w:t>
            </w:r>
            <w:proofErr w:type="gramEnd"/>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餘時，其所有權屬該事業單位。</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前項勞工退休準備金賸餘款，事業單位勞工退休準備金監督委員會未能依</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第四條規定領回時，得由該事業單位向指定之金融機構申領。</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11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各事業單位適用本法前，依營利事業設置職工退休基金保管運用及分配辦</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法</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之退休基金，得移入本辦法規定之該事業單位勞工退休準備金專戶</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內存儲，</w:t>
            </w:r>
            <w:proofErr w:type="gramStart"/>
            <w:r w:rsidRPr="00A211B4">
              <w:rPr>
                <w:rFonts w:ascii="細明體" w:eastAsia="細明體" w:hAnsi="細明體" w:cs="細明體"/>
                <w:color w:val="000000"/>
                <w:kern w:val="0"/>
                <w:szCs w:val="24"/>
              </w:rPr>
              <w:t>併</w:t>
            </w:r>
            <w:proofErr w:type="gramEnd"/>
            <w:r w:rsidRPr="00A211B4">
              <w:rPr>
                <w:rFonts w:ascii="細明體" w:eastAsia="細明體" w:hAnsi="細明體" w:cs="細明體"/>
                <w:color w:val="000000"/>
                <w:kern w:val="0"/>
                <w:szCs w:val="24"/>
              </w:rPr>
              <w:t>同處理。</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12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當地主管機關或勞動檢查機構對各事業單位</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勞工退休準備金情形得派</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lastRenderedPageBreak/>
              <w:t>員查核，有不合規定情事者，應依法處理。</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lastRenderedPageBreak/>
              <w:t>第   13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當地主管機關及勞保局得視實際需要，函請受指定保管運用勞工退休基金</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之金融機構提供有關資料。</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14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各事業單位應於每年年度終了後一個月內，造具勞工退休準備金</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及支</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出數額清冊，送請勞工退休準備金監督委員會審核。</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15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各事業單位依本法規定</w:t>
            </w:r>
            <w:proofErr w:type="gramStart"/>
            <w:r w:rsidRPr="00A211B4">
              <w:rPr>
                <w:rFonts w:ascii="細明體" w:eastAsia="細明體" w:hAnsi="細明體" w:cs="細明體"/>
                <w:color w:val="000000"/>
                <w:kern w:val="0"/>
                <w:szCs w:val="24"/>
              </w:rPr>
              <w:t>提撥</w:t>
            </w:r>
            <w:proofErr w:type="gramEnd"/>
            <w:r w:rsidRPr="00A211B4">
              <w:rPr>
                <w:rFonts w:ascii="細明體" w:eastAsia="細明體" w:hAnsi="細明體" w:cs="細明體"/>
                <w:color w:val="000000"/>
                <w:kern w:val="0"/>
                <w:szCs w:val="24"/>
              </w:rPr>
              <w:t>勞工退休準備金之開始日期，由中央主管機關</w:t>
            </w:r>
          </w:p>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以命令定之。</w:t>
            </w:r>
          </w:p>
        </w:tc>
      </w:tr>
      <w:tr w:rsidR="00A211B4" w:rsidRPr="00A211B4" w:rsidTr="00A211B4">
        <w:trPr>
          <w:tblCellSpacing w:w="15" w:type="dxa"/>
          <w:jc w:val="center"/>
        </w:trPr>
        <w:tc>
          <w:tcPr>
            <w:tcW w:w="1244" w:type="pct"/>
            <w:noWrap/>
            <w:hideMark/>
          </w:tcPr>
          <w:p w:rsidR="00A211B4" w:rsidRPr="00A211B4" w:rsidRDefault="00A211B4" w:rsidP="00A211B4">
            <w:pPr>
              <w:widowControl/>
              <w:rPr>
                <w:rFonts w:ascii="新細明體" w:eastAsia="新細明體" w:hAnsi="新細明體" w:cs="新細明體"/>
                <w:color w:val="000000"/>
                <w:kern w:val="0"/>
                <w:szCs w:val="24"/>
              </w:rPr>
            </w:pPr>
            <w:r w:rsidRPr="00A211B4">
              <w:rPr>
                <w:rFonts w:ascii="新細明體" w:eastAsia="新細明體" w:hAnsi="新細明體" w:cs="新細明體"/>
                <w:color w:val="000000"/>
                <w:kern w:val="0"/>
                <w:sz w:val="20"/>
                <w:szCs w:val="20"/>
              </w:rPr>
              <w:t>第   16    條</w:t>
            </w:r>
          </w:p>
        </w:tc>
        <w:tc>
          <w:tcPr>
            <w:tcW w:w="3699" w:type="pct"/>
            <w:hideMark/>
          </w:tcPr>
          <w:p w:rsidR="00A211B4" w:rsidRPr="00A211B4" w:rsidRDefault="00A211B4" w:rsidP="00A21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細明體" w:eastAsia="細明體" w:hAnsi="細明體" w:cs="細明體"/>
                <w:color w:val="000000"/>
                <w:kern w:val="0"/>
                <w:szCs w:val="24"/>
              </w:rPr>
            </w:pPr>
            <w:r w:rsidRPr="00A211B4">
              <w:rPr>
                <w:rFonts w:ascii="細明體" w:eastAsia="細明體" w:hAnsi="細明體" w:cs="細明體"/>
                <w:color w:val="000000"/>
                <w:kern w:val="0"/>
                <w:szCs w:val="24"/>
              </w:rPr>
              <w:t>本辦法自發布日施行。</w:t>
            </w:r>
          </w:p>
        </w:tc>
      </w:tr>
    </w:tbl>
    <w:p w:rsidR="004447E6" w:rsidRDefault="004447E6"/>
    <w:sectPr w:rsidR="004447E6" w:rsidSect="00A211B4">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1B4"/>
    <w:rsid w:val="004447E6"/>
    <w:rsid w:val="00A211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11B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211B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211B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A211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0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2016-06-29T01:49:00Z</dcterms:created>
  <dcterms:modified xsi:type="dcterms:W3CDTF">2016-06-29T01:51:00Z</dcterms:modified>
</cp:coreProperties>
</file>